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178F4" w:rsidP="00C178F4">
      <w:pPr>
        <w:jc w:val="center"/>
        <w:rPr>
          <w:b/>
        </w:rPr>
      </w:pPr>
    </w:p>
    <w:p w:rsidR="00C178F4" w:rsidP="00C178F4">
      <w:pPr>
        <w:jc w:val="center"/>
        <w:rPr>
          <w:b/>
        </w:rPr>
      </w:pPr>
    </w:p>
    <w:p w:rsidR="00591ACD" w:rsidP="00C178F4">
      <w:pPr>
        <w:jc w:val="center"/>
        <w:rPr>
          <w:b/>
        </w:rPr>
      </w:pPr>
      <w:r w:rsidRPr="001D5F34">
        <w:rPr>
          <w:b/>
        </w:rPr>
        <w:t>Acute Kidney Injury</w:t>
      </w:r>
    </w:p>
    <w:p w:rsidR="00C178F4" w:rsidP="00C178F4">
      <w:pPr>
        <w:jc w:val="center"/>
        <w:rPr>
          <w:b/>
        </w:rPr>
      </w:pPr>
    </w:p>
    <w:p w:rsidR="00C178F4" w:rsidP="00C178F4">
      <w:pPr>
        <w:jc w:val="center"/>
        <w:rPr>
          <w:b/>
        </w:rPr>
      </w:pPr>
    </w:p>
    <w:p w:rsidR="00C178F4" w:rsidP="00C178F4">
      <w:pPr>
        <w:jc w:val="center"/>
        <w:rPr>
          <w:b/>
        </w:rPr>
      </w:pPr>
    </w:p>
    <w:p w:rsidR="00C178F4" w:rsidRPr="001D5F34" w:rsidP="00C178F4">
      <w:pPr>
        <w:jc w:val="center"/>
        <w:rPr>
          <w:b/>
        </w:rPr>
      </w:pPr>
    </w:p>
    <w:p w:rsidR="004927FD" w:rsidP="00C178F4">
      <w:pPr>
        <w:jc w:val="center"/>
      </w:pPr>
      <w:r>
        <w:t>Name</w:t>
      </w:r>
    </w:p>
    <w:p w:rsidR="004927FD" w:rsidP="00C178F4">
      <w:pPr>
        <w:jc w:val="center"/>
      </w:pPr>
      <w:r>
        <w:t>Institution of Affiliation</w:t>
      </w:r>
    </w:p>
    <w:p w:rsidR="00C178F4" w:rsidP="00C178F4">
      <w:pPr>
        <w:jc w:val="center"/>
      </w:pPr>
      <w:r>
        <w:t>Professor</w:t>
      </w:r>
    </w:p>
    <w:p w:rsidR="00C178F4" w:rsidP="00C178F4">
      <w:pPr>
        <w:jc w:val="center"/>
      </w:pPr>
      <w:r>
        <w:t xml:space="preserve">Date </w:t>
      </w: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C178F4" w:rsidP="007C3D15">
      <w:pPr>
        <w:rPr>
          <w:b/>
        </w:rPr>
      </w:pPr>
    </w:p>
    <w:p w:rsidR="004927FD" w:rsidRPr="001D5F34" w:rsidP="00C178F4">
      <w:pPr>
        <w:jc w:val="center"/>
        <w:rPr>
          <w:b/>
        </w:rPr>
      </w:pPr>
      <w:r w:rsidRPr="001D5F34">
        <w:rPr>
          <w:b/>
        </w:rPr>
        <w:t>Acute Kidney Injury</w:t>
      </w:r>
    </w:p>
    <w:p w:rsidR="004927FD" w:rsidP="00C178F4">
      <w:pPr>
        <w:ind w:left="0" w:firstLine="720"/>
      </w:pPr>
      <w:r>
        <w:t xml:space="preserve">Acute kidney injury refers to the rapid decline in the filtration function of the kidneys. This is normally detected by the </w:t>
      </w:r>
      <w:r w:rsidR="00332B6D">
        <w:t>body's rise of creatinine and azotemia</w:t>
      </w:r>
      <w:r w:rsidR="001146C1">
        <w:t xml:space="preserve"> (</w:t>
      </w:r>
      <w:r w:rsidR="001146C1">
        <w:t>Zuk</w:t>
      </w:r>
      <w:r w:rsidR="001146C1">
        <w:t xml:space="preserve"> &amp; Bonventre, </w:t>
      </w:r>
      <w:r w:rsidRPr="001146C1" w:rsidR="001146C1">
        <w:t>2016)</w:t>
      </w:r>
      <w:r w:rsidR="00332B6D">
        <w:t xml:space="preserve">. There is also a decrease in urine production and severe </w:t>
      </w:r>
      <w:r w:rsidR="007C3D15">
        <w:t>cases</w:t>
      </w:r>
      <w:r w:rsidR="00332B6D">
        <w:t xml:space="preserve">, and there is anuria or the total kidney shutdown. </w:t>
      </w:r>
      <w:r w:rsidR="007C3D15">
        <w:t xml:space="preserve">Acute kidney injury condition is divided into three categories based on the location of the cause. This includes prerenal, renal, and postrenal.  </w:t>
      </w:r>
      <w:r w:rsidR="001146C1">
        <w:t xml:space="preserve">According to </w:t>
      </w:r>
      <w:r w:rsidRPr="001146C1" w:rsidR="001146C1">
        <w:t>Moore</w:t>
      </w:r>
      <w:r w:rsidR="001146C1">
        <w:t xml:space="preserve"> et al. (2018), t</w:t>
      </w:r>
      <w:r w:rsidR="007C3D15">
        <w:t xml:space="preserve">he </w:t>
      </w:r>
      <w:r w:rsidRPr="007C3D15" w:rsidR="007C3D15">
        <w:t>Acute Dialysis Quality Initiative workgroup</w:t>
      </w:r>
      <w:r w:rsidR="007C3D15">
        <w:t xml:space="preserve"> in 2004 came up with an acronym for the classification of the condition, and this was known as RIFLE criteria. </w:t>
      </w:r>
      <w:r w:rsidR="00AA1A12">
        <w:t xml:space="preserve">The acronym stands for </w:t>
      </w:r>
      <w:r w:rsidRPr="00AA1A12" w:rsidR="00AA1A12">
        <w:t>(Risk of renal dysfunction, Injury to the kidney, Failure or Loss of kidney function, and End-stage kidney disease).</w:t>
      </w:r>
      <w:r w:rsidR="00AA1A12">
        <w:t xml:space="preserve"> </w:t>
      </w:r>
      <w:r w:rsidR="00A02668">
        <w:t>The criteria have two components, which are glomerulus filtration rate (GFR) and Urine output (UO). The patient is therefore classified based on either the GFR or the OU criteria. The criteria which have a higher severity score should be used to classify the patient. 
</w:t>
      </w:r>
    </w:p>
    <w:p w:rsidR="00A02668" w:rsidRPr="001D5F34" w:rsidP="00C178F4">
      <w:pPr>
        <w:jc w:val="center"/>
        <w:rPr>
          <w:b/>
        </w:rPr>
      </w:pPr>
      <w:r w:rsidRPr="001D5F34">
        <w:rPr>
          <w:b/>
        </w:rPr>
        <w:t xml:space="preserve">Pathophysiology </w:t>
      </w:r>
      <w:r w:rsidRPr="001D5F34" w:rsidR="001D5F34">
        <w:rPr>
          <w:b/>
        </w:rPr>
        <w:t>and Clinical Manifestation</w:t>
      </w:r>
    </w:p>
    <w:p w:rsidR="001D5F34" w:rsidP="00C178F4">
      <w:pPr>
        <w:ind w:left="0" w:firstLine="720"/>
      </w:pPr>
      <w:r>
        <w:t xml:space="preserve">The glomerulus filtration is normally driven by the renal blood flow. If there is reduced renal blood flow, this means that there is less pressure to drive filtration in the glomerulus into the bowman space. </w:t>
      </w:r>
      <w:r w:rsidR="00164CC7">
        <w:t>The reduction of renal blood flow would lead to intrinsic injury of the glomerulus and the tubules leading to the release of renal afferent constrictors, which would further cause ischemic kidney injury</w:t>
      </w:r>
      <w:r w:rsidR="001146C1">
        <w:t xml:space="preserve"> (Levey &amp; James, </w:t>
      </w:r>
      <w:r w:rsidRPr="001146C1" w:rsidR="001146C1">
        <w:t>2017)</w:t>
      </w:r>
      <w:r w:rsidR="00164CC7">
        <w:t xml:space="preserve">. In the </w:t>
      </w:r>
      <w:r w:rsidR="00164CC7">
        <w:t>postrenal</w:t>
      </w:r>
      <w:r w:rsidR="00164CC7">
        <w:t xml:space="preserve"> scenario, the obstruction leads to the build-up of tubular pressure, which in turn reduces the rate of filtration. </w:t>
      </w:r>
      <w:r>
        <w:t xml:space="preserve">In overall cascade, the decrease in the renal blood flow causes ischemia, which in turn leads to cell death as tubular necrosis ensues. This leads to almost total kidney shutdown hence anuria and accumulation of creatinine and BUN in the body. Clinical manifestation includes reduced or complete </w:t>
      </w:r>
      <w:r>
        <w:t>lack of urine output, dizziness, thirst, vomiting, orthostatic hypotension, shortness of breath, sweating, confusion, chest pain, and in severe cases, seizures and even coma.  
</w:t>
      </w:r>
    </w:p>
    <w:p w:rsidR="001D5F34" w:rsidP="00C178F4">
      <w:pPr>
        <w:jc w:val="center"/>
        <w:rPr>
          <w:b/>
        </w:rPr>
      </w:pPr>
      <w:r w:rsidRPr="001D5F34">
        <w:rPr>
          <w:b/>
        </w:rPr>
        <w:t>Evaluation and Treatment</w:t>
      </w:r>
    </w:p>
    <w:p w:rsidR="001D5F34" w:rsidP="00C178F4">
      <w:pPr>
        <w:ind w:left="0" w:firstLine="720"/>
      </w:pPr>
      <w:r>
        <w:t xml:space="preserve">A thorough medical history should be obtained in order to get information on any existing condition that would lead to AKI. </w:t>
      </w:r>
      <w:r w:rsidRPr="003F621F">
        <w:t xml:space="preserve">The evaluation includes </w:t>
      </w:r>
      <w:r w:rsidRPr="003F621F" w:rsidR="003F621F">
        <w:t>investigations</w:t>
      </w:r>
      <w:r w:rsidRPr="003F621F">
        <w:t xml:space="preserve"> that are both </w:t>
      </w:r>
      <w:r w:rsidR="003F621F">
        <w:t>lab works and radiology. The lab words tests include</w:t>
      </w:r>
      <w:r>
        <w:t xml:space="preserve"> complete blood count, urinalysis and microscopy, urea, electrolytes, and creatinine </w:t>
      </w:r>
      <w:r w:rsidR="001146C1">
        <w:t xml:space="preserve">(UECs), </w:t>
      </w:r>
      <w:r>
        <w:t>liver function tests</w:t>
      </w:r>
      <w:r w:rsidR="001146C1">
        <w:t xml:space="preserve"> and arterial blood gases (ABG</w:t>
      </w:r>
      <w:r w:rsidR="001146C1">
        <w:t>)</w:t>
      </w:r>
      <w:r w:rsidR="00C178F4">
        <w:t>(</w:t>
      </w:r>
      <w:r w:rsidRPr="00C178F4" w:rsidR="00C178F4">
        <w:t xml:space="preserve"> </w:t>
      </w:r>
      <w:r w:rsidRPr="001146C1" w:rsidR="00C178F4">
        <w:t>Moore</w:t>
      </w:r>
      <w:r w:rsidR="00C178F4">
        <w:t xml:space="preserve"> </w:t>
      </w:r>
      <w:r w:rsidR="00C178F4">
        <w:t xml:space="preserve">et al., </w:t>
      </w:r>
      <w:r w:rsidR="00C178F4">
        <w:t>2018)</w:t>
      </w:r>
      <w:r>
        <w:t>. For imaging, renal ultrasound should be done to evaluate the kidney and detect any preexisting renal disease. Treatment is based on the cause of the AKI. For example, if the condition was due to aggressive hypotension, restoration of the blood volume should be done. Any hemorrhage should be stopped to ensure there is no further loss of the volume</w:t>
      </w:r>
      <w:r w:rsidR="00C178F4">
        <w:t xml:space="preserve"> </w:t>
      </w:r>
      <w:r w:rsidR="00C178F4">
        <w:t xml:space="preserve">(Levey &amp; James, </w:t>
      </w:r>
      <w:r w:rsidRPr="001146C1" w:rsidR="00C178F4">
        <w:t>2017)</w:t>
      </w:r>
      <w:r>
        <w:t xml:space="preserve">. If it was due to a nephrotoxic substance, such should be withdrawn. Electrolyte balance should be done. </w:t>
      </w:r>
      <w:r w:rsidR="001146C1">
        <w:t>In the case of uremia, dialysis may be indicated. 
</w:t>
      </w:r>
    </w:p>
    <w:p w:rsidR="00C178F4" w:rsidP="007C3D15"/>
    <w:p w:rsidR="00C178F4" w:rsidP="007C3D15"/>
    <w:p w:rsidR="00C178F4" w:rsidP="007C3D15"/>
    <w:p w:rsidR="00C178F4" w:rsidP="007C3D15"/>
    <w:p w:rsidR="00C178F4" w:rsidP="007C3D15"/>
    <w:p w:rsidR="00C178F4" w:rsidP="007C3D15"/>
    <w:p w:rsidR="00C178F4" w:rsidP="007C3D15"/>
    <w:p w:rsidR="00C178F4" w:rsidP="007C3D15"/>
    <w:p w:rsidR="00C178F4" w:rsidP="007C3D15"/>
    <w:p w:rsidR="00C178F4" w:rsidP="007C3D15">
      <w:bookmarkStart w:id="0" w:name="_GoBack"/>
      <w:bookmarkEnd w:id="0"/>
    </w:p>
    <w:p w:rsidR="001146C1" w:rsidRPr="00C178F4" w:rsidP="00C178F4">
      <w:pPr>
        <w:jc w:val="center"/>
        <w:rPr>
          <w:b/>
        </w:rPr>
      </w:pPr>
      <w:r w:rsidRPr="00C178F4">
        <w:rPr>
          <w:b/>
        </w:rPr>
        <w:t>References</w:t>
      </w:r>
    </w:p>
    <w:p w:rsidR="00C178F4" w:rsidP="00C178F4">
      <w:r w:rsidRPr="001146C1">
        <w:t>Levey, A. S., &amp; James, M. T. (2017).</w:t>
      </w:r>
      <w:r w:rsidRPr="001146C1">
        <w:t xml:space="preserve"> </w:t>
      </w:r>
      <w:r w:rsidRPr="001146C1">
        <w:t>Acute kidney injury.</w:t>
      </w:r>
      <w:r w:rsidRPr="001146C1">
        <w:t> </w:t>
      </w:r>
      <w:r w:rsidRPr="001146C1">
        <w:rPr>
          <w:i/>
          <w:iCs/>
        </w:rPr>
        <w:t>Annals of internal medicine</w:t>
      </w:r>
      <w:r w:rsidRPr="001146C1">
        <w:t>, </w:t>
      </w:r>
      <w:r w:rsidRPr="001146C1">
        <w:rPr>
          <w:i/>
          <w:iCs/>
        </w:rPr>
        <w:t>167</w:t>
      </w:r>
      <w:r w:rsidRPr="001146C1">
        <w:t>(9), ITC66-ITC80.</w:t>
      </w:r>
    </w:p>
    <w:p w:rsidR="00C178F4" w:rsidP="00C178F4">
      <w:r w:rsidRPr="001146C1">
        <w:t>Moore, P. K., Hsu, R. K., &amp; Liu, K. D. (2018).</w:t>
      </w:r>
      <w:r w:rsidRPr="001146C1">
        <w:t xml:space="preserve"> Management of acute kidney injury: core curriculum 2018. </w:t>
      </w:r>
      <w:r w:rsidRPr="001146C1">
        <w:rPr>
          <w:i/>
          <w:iCs/>
        </w:rPr>
        <w:t>American Journal of Kidney Diseases</w:t>
      </w:r>
      <w:r w:rsidRPr="001146C1">
        <w:t>, </w:t>
      </w:r>
      <w:r w:rsidRPr="001146C1">
        <w:rPr>
          <w:i/>
          <w:iCs/>
        </w:rPr>
        <w:t>72</w:t>
      </w:r>
      <w:r w:rsidRPr="001146C1">
        <w:t>(1), 136-148.</w:t>
      </w:r>
    </w:p>
    <w:p w:rsidR="00C178F4" w:rsidP="00C178F4">
      <w:r w:rsidRPr="001146C1">
        <w:t>Zuk</w:t>
      </w:r>
      <w:r w:rsidRPr="001146C1">
        <w:t>, A., &amp; Bonventre, J. V. (2016).</w:t>
      </w:r>
      <w:r w:rsidRPr="001146C1">
        <w:t xml:space="preserve"> </w:t>
      </w:r>
      <w:r w:rsidRPr="001146C1">
        <w:t>Acute kidney injury.</w:t>
      </w:r>
      <w:r w:rsidRPr="001146C1">
        <w:t> </w:t>
      </w:r>
      <w:r w:rsidRPr="001146C1">
        <w:rPr>
          <w:i/>
          <w:iCs/>
        </w:rPr>
        <w:t>Annual review of medicine</w:t>
      </w:r>
      <w:r w:rsidRPr="001146C1">
        <w:t>, </w:t>
      </w:r>
      <w:r w:rsidRPr="001146C1">
        <w:rPr>
          <w:i/>
          <w:iCs/>
        </w:rPr>
        <w:t>67</w:t>
      </w:r>
      <w:r w:rsidRPr="001146C1">
        <w:t>, 293-307.</w:t>
      </w:r>
    </w:p>
    <w:p w:rsidR="001146C1" w:rsidP="007C3D15"/>
    <w:p w:rsidR="001146C1" w:rsidRPr="003F621F" w:rsidP="007C3D15"/>
    <w:p w:rsidR="00A02668" w:rsidP="007C3D15"/>
    <w:p w:rsidR="00A02668" w:rsidP="007C3D15"/>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9022332"/>
      <w:docPartObj>
        <w:docPartGallery w:val="Page Numbers (Top of Page)"/>
        <w:docPartUnique/>
      </w:docPartObj>
    </w:sdtPr>
    <w:sdtEndPr>
      <w:rPr>
        <w:noProof/>
      </w:rPr>
    </w:sdtEndPr>
    <w:sdtContent>
      <w:p w:rsidR="00C178F4">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C178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FD"/>
    <w:rsid w:val="001146C1"/>
    <w:rsid w:val="001352BC"/>
    <w:rsid w:val="00164CC7"/>
    <w:rsid w:val="001D5F34"/>
    <w:rsid w:val="00332B6D"/>
    <w:rsid w:val="003F621F"/>
    <w:rsid w:val="00416F35"/>
    <w:rsid w:val="0048034F"/>
    <w:rsid w:val="004927FD"/>
    <w:rsid w:val="004A15B7"/>
    <w:rsid w:val="004D7E18"/>
    <w:rsid w:val="00572E80"/>
    <w:rsid w:val="00591ACD"/>
    <w:rsid w:val="007C3D15"/>
    <w:rsid w:val="00967D29"/>
    <w:rsid w:val="00A02668"/>
    <w:rsid w:val="00AA1A12"/>
    <w:rsid w:val="00AC75ED"/>
    <w:rsid w:val="00AE793E"/>
    <w:rsid w:val="00B922EF"/>
    <w:rsid w:val="00BF6C61"/>
    <w:rsid w:val="00C178F4"/>
    <w:rsid w:val="00C94526"/>
    <w:rsid w:val="00CE58B9"/>
    <w:rsid w:val="00DB00BF"/>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eastAsia="Calibri"/>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8F4"/>
    <w:pPr>
      <w:tabs>
        <w:tab w:val="center" w:pos="4680"/>
        <w:tab w:val="right" w:pos="9360"/>
      </w:tabs>
      <w:spacing w:line="240" w:lineRule="auto"/>
    </w:pPr>
  </w:style>
  <w:style w:type="character" w:customStyle="1" w:styleId="HeaderChar">
    <w:name w:val="Header Char"/>
    <w:basedOn w:val="DefaultParagraphFont"/>
    <w:link w:val="Header"/>
    <w:uiPriority w:val="99"/>
    <w:rsid w:val="00C178F4"/>
    <w:rPr>
      <w:rFonts w:eastAsia="Calibri"/>
      <w:bCs/>
    </w:rPr>
  </w:style>
  <w:style w:type="paragraph" w:styleId="Footer">
    <w:name w:val="footer"/>
    <w:basedOn w:val="Normal"/>
    <w:link w:val="FooterChar"/>
    <w:uiPriority w:val="99"/>
    <w:unhideWhenUsed/>
    <w:rsid w:val="00C178F4"/>
    <w:pPr>
      <w:tabs>
        <w:tab w:val="center" w:pos="4680"/>
        <w:tab w:val="right" w:pos="9360"/>
      </w:tabs>
      <w:spacing w:line="240" w:lineRule="auto"/>
    </w:pPr>
  </w:style>
  <w:style w:type="character" w:customStyle="1" w:styleId="FooterChar">
    <w:name w:val="Footer Char"/>
    <w:basedOn w:val="DefaultParagraphFont"/>
    <w:link w:val="Footer"/>
    <w:uiPriority w:val="99"/>
    <w:rsid w:val="00C178F4"/>
    <w:rPr>
      <w:rFonts w:eastAsia="Calibri"/>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2020-06-17T21:45:00Z</dcterms:created>
  <dcterms:modified xsi:type="dcterms:W3CDTF">2020-06-17T23:44:00Z</dcterms:modified>
</cp:coreProperties>
</file>